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margin" w:tblpX="-885" w:tblpY="-667"/>
        <w:tblW w:w="1066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53"/>
        <w:gridCol w:w="1843"/>
        <w:gridCol w:w="4573"/>
      </w:tblGrid>
      <w:tr w14:paraId="67D54B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53" w:type="dxa"/>
            <w:shd w:val="clear" w:color="auto" w:fill="auto"/>
            <w:noWrap w:val="0"/>
            <w:vAlign w:val="top"/>
          </w:tcPr>
          <w:p w14:paraId="4536844D">
            <w:pPr>
              <w:spacing w:after="0" w:line="240" w:lineRule="auto"/>
              <w:jc w:val="right"/>
              <w:rPr>
                <w:rFonts w:ascii="Times New Roman" w:hAnsi="Times New Roman" w:eastAsia="Calibri"/>
                <w:sz w:val="28"/>
                <w:szCs w:val="28"/>
              </w:rPr>
            </w:pPr>
            <w:r>
              <w:rPr>
                <w:rFonts w:ascii="Times New Roman" w:hAnsi="Times New Roman" w:eastAsia="Calibri"/>
                <w:sz w:val="28"/>
                <w:szCs w:val="28"/>
              </w:rPr>
              <w:t>СОГЛАСОВАНО:</w:t>
            </w:r>
          </w:p>
        </w:tc>
        <w:tc>
          <w:tcPr>
            <w:tcW w:w="1843" w:type="dxa"/>
            <w:shd w:val="clear" w:color="auto" w:fill="auto"/>
            <w:noWrap w:val="0"/>
            <w:vAlign w:val="top"/>
          </w:tcPr>
          <w:p w14:paraId="3A8A4871">
            <w:pPr>
              <w:spacing w:after="0" w:line="240" w:lineRule="auto"/>
              <w:jc w:val="center"/>
              <w:rPr>
                <w:rFonts w:ascii="Times New Roman" w:hAnsi="Times New Roman" w:eastAsia="Calibri"/>
                <w:iCs/>
                <w:sz w:val="28"/>
                <w:szCs w:val="28"/>
              </w:rPr>
            </w:pPr>
          </w:p>
        </w:tc>
        <w:tc>
          <w:tcPr>
            <w:tcW w:w="4573" w:type="dxa"/>
            <w:shd w:val="clear" w:color="auto" w:fill="auto"/>
            <w:noWrap w:val="0"/>
            <w:vAlign w:val="top"/>
          </w:tcPr>
          <w:p w14:paraId="72EECC7D">
            <w:pPr>
              <w:spacing w:after="0" w:line="240" w:lineRule="auto"/>
              <w:jc w:val="right"/>
              <w:rPr>
                <w:rFonts w:ascii="Times New Roman" w:hAnsi="Times New Roman" w:eastAsia="Calibri"/>
                <w:sz w:val="28"/>
                <w:szCs w:val="28"/>
              </w:rPr>
            </w:pPr>
            <w:r>
              <w:rPr>
                <w:rFonts w:ascii="Times New Roman" w:hAnsi="Times New Roman" w:eastAsia="Calibri"/>
                <w:sz w:val="28"/>
                <w:szCs w:val="28"/>
              </w:rPr>
              <w:t>УТВЕРЖДЕНО:</w:t>
            </w:r>
          </w:p>
        </w:tc>
      </w:tr>
      <w:tr w14:paraId="3065C0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4253" w:type="dxa"/>
            <w:shd w:val="clear" w:color="auto" w:fill="auto"/>
            <w:noWrap w:val="0"/>
            <w:vAlign w:val="top"/>
          </w:tcPr>
          <w:p w14:paraId="3C0F4E30">
            <w:pPr>
              <w:spacing w:after="0" w:line="240" w:lineRule="auto"/>
              <w:jc w:val="right"/>
              <w:rPr>
                <w:rFonts w:ascii="Times New Roman" w:hAnsi="Times New Roman" w:eastAsia="Calibri"/>
                <w:sz w:val="28"/>
                <w:szCs w:val="28"/>
              </w:rPr>
            </w:pPr>
            <w:r>
              <w:rPr>
                <w:rFonts w:ascii="Times New Roman" w:hAnsi="Times New Roman" w:eastAsia="Calibri"/>
                <w:sz w:val="28"/>
                <w:szCs w:val="28"/>
              </w:rPr>
              <w:t xml:space="preserve">Общим собранием работников МАДОУ </w:t>
            </w:r>
            <w:r>
              <w:rPr>
                <w:rFonts w:ascii="Times New Roman" w:hAnsi="Times New Roman" w:eastAsia="Calibri"/>
                <w:color w:val="000000"/>
                <w:sz w:val="28"/>
                <w:szCs w:val="28"/>
                <w:lang w:bidi="ru-RU"/>
              </w:rPr>
              <w:t>«Детский сад №295»</w:t>
            </w:r>
            <w:r>
              <w:rPr>
                <w:rFonts w:ascii="Times New Roman" w:hAnsi="Times New Roman" w:eastAsia="Calibri"/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  <w:shd w:val="clear" w:color="auto" w:fill="auto"/>
            <w:noWrap w:val="0"/>
            <w:vAlign w:val="top"/>
          </w:tcPr>
          <w:p w14:paraId="1939B884">
            <w:pPr>
              <w:spacing w:after="0" w:line="240" w:lineRule="auto"/>
              <w:jc w:val="center"/>
              <w:rPr>
                <w:rFonts w:ascii="Times New Roman" w:hAnsi="Times New Roman" w:eastAsia="Calibri"/>
                <w:iCs/>
                <w:sz w:val="28"/>
                <w:szCs w:val="28"/>
              </w:rPr>
            </w:pPr>
            <w:r>
              <w:rPr>
                <w:rFonts w:ascii="Times New Roman" w:hAnsi="Times New Roman" w:eastAsia="Calibri"/>
                <w:iCs/>
                <w:sz w:val="28"/>
                <w:szCs w:val="28"/>
              </w:rPr>
              <w:t xml:space="preserve">                  </w:t>
            </w:r>
          </w:p>
        </w:tc>
        <w:tc>
          <w:tcPr>
            <w:tcW w:w="4573" w:type="dxa"/>
            <w:shd w:val="clear" w:color="auto" w:fill="auto"/>
            <w:noWrap w:val="0"/>
            <w:vAlign w:val="top"/>
          </w:tcPr>
          <w:p w14:paraId="17CB2C4F">
            <w:pPr>
              <w:spacing w:after="0" w:line="240" w:lineRule="auto"/>
              <w:jc w:val="right"/>
              <w:rPr>
                <w:rFonts w:ascii="Times New Roman" w:hAnsi="Times New Roman" w:eastAsia="Calibri"/>
                <w:sz w:val="28"/>
                <w:szCs w:val="28"/>
              </w:rPr>
            </w:pPr>
            <w:r>
              <w:rPr>
                <w:rFonts w:ascii="Times New Roman" w:hAnsi="Times New Roman" w:eastAsia="Calibri"/>
                <w:sz w:val="28"/>
                <w:szCs w:val="28"/>
              </w:rPr>
              <w:t>И.о. Заведующего  МАДОУ</w:t>
            </w:r>
            <w:r>
              <w:rPr>
                <w:rFonts w:ascii="Times New Roman" w:hAnsi="Times New Roman" w:eastAsia="Calibri"/>
                <w:color w:val="000000"/>
                <w:sz w:val="28"/>
                <w:szCs w:val="28"/>
                <w:lang w:bidi="ru-RU"/>
              </w:rPr>
              <w:t xml:space="preserve"> «Детский сад №295»</w:t>
            </w:r>
          </w:p>
        </w:tc>
      </w:tr>
      <w:tr w14:paraId="444734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53" w:type="dxa"/>
            <w:shd w:val="clear" w:color="auto" w:fill="auto"/>
            <w:noWrap w:val="0"/>
            <w:vAlign w:val="top"/>
          </w:tcPr>
          <w:p w14:paraId="3E591CF9">
            <w:pPr>
              <w:spacing w:after="0" w:line="240" w:lineRule="auto"/>
              <w:jc w:val="right"/>
              <w:rPr>
                <w:rFonts w:ascii="Times New Roman" w:hAnsi="Times New Roman" w:eastAsia="Calibri"/>
                <w:sz w:val="28"/>
                <w:szCs w:val="28"/>
              </w:rPr>
            </w:pPr>
            <w:r>
              <w:rPr>
                <w:rFonts w:ascii="Times New Roman" w:hAnsi="Times New Roman" w:eastAsia="Calibri"/>
                <w:sz w:val="28"/>
                <w:szCs w:val="28"/>
              </w:rPr>
              <w:t xml:space="preserve">Протокол № </w:t>
            </w:r>
            <w:r>
              <w:rPr>
                <w:rFonts w:hint="default" w:ascii="Times New Roman" w:hAnsi="Times New Roman" w:eastAsia="Calibri"/>
                <w:sz w:val="28"/>
                <w:szCs w:val="28"/>
                <w:lang w:val="ru-RU"/>
              </w:rPr>
              <w:t>4</w:t>
            </w:r>
            <w:r>
              <w:rPr>
                <w:rFonts w:ascii="Times New Roman" w:hAnsi="Times New Roman" w:eastAsia="Calibri"/>
                <w:sz w:val="28"/>
                <w:szCs w:val="28"/>
              </w:rPr>
              <w:t xml:space="preserve"> от </w:t>
            </w:r>
            <w:r>
              <w:rPr>
                <w:rFonts w:ascii="Times New Roman" w:hAnsi="Times New Roman" w:eastAsia="Calibri"/>
                <w:sz w:val="24"/>
                <w:szCs w:val="24"/>
              </w:rPr>
              <w:t>«</w:t>
            </w:r>
            <w:r>
              <w:rPr>
                <w:rFonts w:hint="default" w:ascii="Times New Roman" w:hAnsi="Times New Roman" w:eastAsia="Calibri"/>
                <w:sz w:val="24"/>
                <w:szCs w:val="24"/>
                <w:lang w:val="ru-RU"/>
              </w:rPr>
              <w:t>21</w:t>
            </w:r>
            <w:r>
              <w:rPr>
                <w:rFonts w:ascii="Times New Roman" w:hAnsi="Times New Roman" w:eastAsia="Calibri"/>
                <w:sz w:val="24"/>
                <w:szCs w:val="24"/>
              </w:rPr>
              <w:t>»</w:t>
            </w:r>
            <w:r>
              <w:rPr>
                <w:rFonts w:hint="default" w:ascii="Times New Roman" w:hAnsi="Times New Roman" w:eastAsia="Calibri"/>
                <w:sz w:val="24"/>
                <w:szCs w:val="24"/>
                <w:lang w:val="ru-RU"/>
              </w:rPr>
              <w:t xml:space="preserve">04 </w:t>
            </w:r>
            <w:r>
              <w:rPr>
                <w:rFonts w:ascii="Times New Roman" w:hAnsi="Times New Roman" w:eastAsia="Calibri"/>
                <w:sz w:val="24"/>
                <w:szCs w:val="24"/>
              </w:rPr>
              <w:t>202</w:t>
            </w:r>
            <w:r>
              <w:rPr>
                <w:rFonts w:hint="default" w:ascii="Times New Roman" w:hAnsi="Times New Roman" w:eastAsia="Calibri"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 w:eastAsia="Calibri"/>
                <w:sz w:val="24"/>
                <w:szCs w:val="24"/>
              </w:rPr>
              <w:t xml:space="preserve"> г</w:t>
            </w:r>
            <w:r>
              <w:rPr>
                <w:rFonts w:ascii="Times New Roman" w:hAnsi="Times New Roman" w:eastAsia="Calibri"/>
                <w:sz w:val="28"/>
                <w:szCs w:val="28"/>
              </w:rPr>
              <w:t>.</w:t>
            </w:r>
          </w:p>
        </w:tc>
        <w:tc>
          <w:tcPr>
            <w:tcW w:w="1843" w:type="dxa"/>
            <w:shd w:val="clear" w:color="auto" w:fill="auto"/>
            <w:noWrap w:val="0"/>
            <w:vAlign w:val="top"/>
          </w:tcPr>
          <w:p w14:paraId="395E2ABE">
            <w:pPr>
              <w:spacing w:after="0" w:line="240" w:lineRule="auto"/>
              <w:jc w:val="center"/>
              <w:rPr>
                <w:rFonts w:ascii="Times New Roman" w:hAnsi="Times New Roman" w:eastAsia="Calibri"/>
                <w:iCs/>
                <w:sz w:val="28"/>
                <w:szCs w:val="28"/>
              </w:rPr>
            </w:pPr>
          </w:p>
        </w:tc>
        <w:tc>
          <w:tcPr>
            <w:tcW w:w="4573" w:type="dxa"/>
            <w:vMerge w:val="restart"/>
            <w:shd w:val="clear" w:color="auto" w:fill="auto"/>
            <w:noWrap w:val="0"/>
            <w:vAlign w:val="top"/>
          </w:tcPr>
          <w:p w14:paraId="6C18EB6E">
            <w:pPr>
              <w:spacing w:after="0" w:line="240" w:lineRule="auto"/>
              <w:jc w:val="right"/>
              <w:rPr>
                <w:rFonts w:ascii="Times New Roman" w:hAnsi="Times New Roman" w:eastAsia="Calibri"/>
                <w:sz w:val="28"/>
                <w:szCs w:val="28"/>
              </w:rPr>
            </w:pPr>
            <w:r>
              <w:rPr>
                <w:rFonts w:ascii="Times New Roman" w:hAnsi="Times New Roman" w:eastAsia="Calibri"/>
                <w:sz w:val="28"/>
                <w:szCs w:val="28"/>
              </w:rPr>
              <w:t xml:space="preserve">_________Л.Р. Чекалкина </w:t>
            </w:r>
          </w:p>
        </w:tc>
      </w:tr>
      <w:tr w14:paraId="5530EC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53" w:type="dxa"/>
            <w:shd w:val="clear" w:color="auto" w:fill="auto"/>
            <w:noWrap w:val="0"/>
            <w:vAlign w:val="top"/>
          </w:tcPr>
          <w:p w14:paraId="131FB65F">
            <w:pPr>
              <w:spacing w:after="0" w:line="240" w:lineRule="auto"/>
              <w:jc w:val="right"/>
              <w:rPr>
                <w:rFonts w:ascii="Times New Roman" w:hAnsi="Times New Roman" w:eastAsia="Calibri"/>
                <w:sz w:val="28"/>
                <w:szCs w:val="28"/>
              </w:rPr>
            </w:pPr>
            <w:r>
              <w:rPr>
                <w:rFonts w:ascii="Times New Roman" w:hAnsi="Times New Roman" w:eastAsia="Calibri"/>
                <w:sz w:val="28"/>
                <w:szCs w:val="28"/>
              </w:rPr>
              <w:t xml:space="preserve">Председатель Профкома  </w:t>
            </w:r>
          </w:p>
        </w:tc>
        <w:tc>
          <w:tcPr>
            <w:tcW w:w="1843" w:type="dxa"/>
            <w:shd w:val="clear" w:color="auto" w:fill="auto"/>
            <w:noWrap w:val="0"/>
            <w:vAlign w:val="top"/>
          </w:tcPr>
          <w:p w14:paraId="45CD38A2">
            <w:pPr>
              <w:spacing w:after="0" w:line="240" w:lineRule="auto"/>
              <w:jc w:val="center"/>
              <w:rPr>
                <w:rFonts w:ascii="Times New Roman" w:hAnsi="Times New Roman" w:eastAsia="Calibri"/>
                <w:iCs/>
                <w:sz w:val="28"/>
                <w:szCs w:val="28"/>
              </w:rPr>
            </w:pPr>
          </w:p>
        </w:tc>
        <w:tc>
          <w:tcPr>
            <w:tcW w:w="4573" w:type="dxa"/>
            <w:vMerge w:val="continue"/>
            <w:shd w:val="clear" w:color="auto" w:fill="auto"/>
            <w:noWrap w:val="0"/>
            <w:vAlign w:val="center"/>
          </w:tcPr>
          <w:p w14:paraId="6D4FC162">
            <w:pPr>
              <w:spacing w:after="0" w:line="240" w:lineRule="auto"/>
              <w:jc w:val="right"/>
              <w:rPr>
                <w:rFonts w:ascii="Times New Roman" w:hAnsi="Times New Roman" w:eastAsia="Calibri"/>
                <w:sz w:val="28"/>
                <w:szCs w:val="28"/>
              </w:rPr>
            </w:pPr>
          </w:p>
        </w:tc>
      </w:tr>
      <w:tr w14:paraId="7A3601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53" w:type="dxa"/>
            <w:shd w:val="clear" w:color="auto" w:fill="auto"/>
            <w:noWrap w:val="0"/>
            <w:vAlign w:val="top"/>
          </w:tcPr>
          <w:p w14:paraId="00D658B7">
            <w:pPr>
              <w:spacing w:after="0" w:line="240" w:lineRule="auto"/>
              <w:jc w:val="right"/>
              <w:rPr>
                <w:rFonts w:ascii="Times New Roman" w:hAnsi="Times New Roman" w:eastAsia="Calibri"/>
                <w:sz w:val="28"/>
                <w:szCs w:val="28"/>
              </w:rPr>
            </w:pPr>
            <w:r>
              <w:rPr>
                <w:rFonts w:ascii="Times New Roman" w:hAnsi="Times New Roman" w:eastAsia="Calibri"/>
                <w:sz w:val="28"/>
                <w:szCs w:val="28"/>
              </w:rPr>
              <w:t>__________ Ф.А. Гизатуллина</w:t>
            </w:r>
          </w:p>
        </w:tc>
        <w:tc>
          <w:tcPr>
            <w:tcW w:w="1843" w:type="dxa"/>
            <w:shd w:val="clear" w:color="auto" w:fill="auto"/>
            <w:noWrap w:val="0"/>
            <w:vAlign w:val="top"/>
          </w:tcPr>
          <w:p w14:paraId="5C42BCD6">
            <w:pPr>
              <w:spacing w:after="0" w:line="240" w:lineRule="auto"/>
              <w:jc w:val="center"/>
              <w:rPr>
                <w:rFonts w:ascii="Times New Roman" w:hAnsi="Times New Roman" w:eastAsia="Calibri"/>
                <w:iCs/>
                <w:sz w:val="28"/>
                <w:szCs w:val="28"/>
              </w:rPr>
            </w:pPr>
          </w:p>
        </w:tc>
        <w:tc>
          <w:tcPr>
            <w:tcW w:w="4573" w:type="dxa"/>
            <w:shd w:val="clear" w:color="auto" w:fill="auto"/>
            <w:noWrap w:val="0"/>
            <w:vAlign w:val="top"/>
          </w:tcPr>
          <w:p w14:paraId="6C90386E">
            <w:pPr>
              <w:spacing w:after="0" w:line="240" w:lineRule="auto"/>
              <w:ind w:firstLine="600" w:firstLineChars="250"/>
              <w:jc w:val="both"/>
              <w:rPr>
                <w:rFonts w:hint="default" w:ascii="Times New Roman" w:hAnsi="Times New Roman" w:eastAsia="Calibri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Calibri"/>
                <w:sz w:val="24"/>
                <w:szCs w:val="24"/>
                <w:lang w:val="ru-RU"/>
              </w:rPr>
              <w:t>Приказ</w:t>
            </w:r>
            <w:r>
              <w:rPr>
                <w:rFonts w:hint="default" w:ascii="Times New Roman" w:hAnsi="Times New Roman" w:eastAsia="Calibri"/>
                <w:sz w:val="24"/>
                <w:szCs w:val="24"/>
                <w:lang w:val="ru-RU"/>
              </w:rPr>
              <w:t xml:space="preserve"> от</w:t>
            </w:r>
            <w:r>
              <w:rPr>
                <w:rFonts w:ascii="Times New Roman" w:hAnsi="Times New Roman" w:eastAsia="Calibri"/>
                <w:sz w:val="24"/>
                <w:szCs w:val="24"/>
              </w:rPr>
              <w:t xml:space="preserve"> «</w:t>
            </w:r>
            <w:r>
              <w:rPr>
                <w:rFonts w:hint="default" w:ascii="Times New Roman" w:hAnsi="Times New Roman" w:eastAsia="Calibri"/>
                <w:sz w:val="24"/>
                <w:szCs w:val="24"/>
                <w:lang w:val="ru-RU"/>
              </w:rPr>
              <w:t>21</w:t>
            </w:r>
            <w:r>
              <w:rPr>
                <w:rFonts w:ascii="Times New Roman" w:hAnsi="Times New Roman" w:eastAsia="Calibri"/>
                <w:sz w:val="24"/>
                <w:szCs w:val="24"/>
              </w:rPr>
              <w:t>»</w:t>
            </w:r>
            <w:r>
              <w:rPr>
                <w:rFonts w:ascii="Times New Roman" w:hAnsi="Times New Roman" w:eastAsia="Calibri"/>
                <w:sz w:val="24"/>
                <w:szCs w:val="24"/>
                <w:lang w:val="ru-RU"/>
              </w:rPr>
              <w:t>апреля</w:t>
            </w:r>
            <w:r>
              <w:rPr>
                <w:rFonts w:hint="default" w:ascii="Times New Roman" w:hAnsi="Times New Roman" w:eastAsia="Calibri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Calibri"/>
                <w:sz w:val="24"/>
                <w:szCs w:val="24"/>
              </w:rPr>
              <w:t>202</w:t>
            </w:r>
            <w:r>
              <w:rPr>
                <w:rFonts w:hint="default" w:ascii="Times New Roman" w:hAnsi="Times New Roman" w:eastAsia="Calibri"/>
                <w:sz w:val="24"/>
                <w:szCs w:val="24"/>
                <w:lang w:val="ru-RU"/>
              </w:rPr>
              <w:t>25</w:t>
            </w:r>
            <w:r>
              <w:rPr>
                <w:rFonts w:ascii="Times New Roman" w:hAnsi="Times New Roman" w:eastAsia="Calibri"/>
                <w:sz w:val="24"/>
                <w:szCs w:val="24"/>
              </w:rPr>
              <w:t xml:space="preserve"> г.</w:t>
            </w:r>
            <w:r>
              <w:rPr>
                <w:rFonts w:hint="default" w:ascii="Times New Roman" w:hAnsi="Times New Roman" w:eastAsia="Calibri"/>
                <w:sz w:val="24"/>
                <w:szCs w:val="24"/>
                <w:lang w:val="ru-RU"/>
              </w:rPr>
              <w:t xml:space="preserve"> №39</w:t>
            </w:r>
          </w:p>
        </w:tc>
      </w:tr>
    </w:tbl>
    <w:p w14:paraId="344CF6C7">
      <w:pPr>
        <w:jc w:val="both"/>
        <w:rPr>
          <w:b/>
        </w:rPr>
      </w:pPr>
    </w:p>
    <w:p w14:paraId="0201C735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40" w:lineRule="auto"/>
        <w:ind w:left="0" w:right="0" w:firstLine="0"/>
        <w:jc w:val="center"/>
        <w:rPr>
          <w:rFonts w:hint="default" w:ascii="Times New Roman" w:hAnsi="Times New Roman" w:eastAsia="helvetica" w:cs="Times New Roman"/>
          <w:i w:val="0"/>
          <w:iCs w:val="0"/>
          <w:caps w:val="0"/>
          <w:color w:val="212121"/>
          <w:spacing w:val="0"/>
          <w:sz w:val="32"/>
          <w:szCs w:val="32"/>
        </w:rPr>
      </w:pPr>
      <w:r>
        <w:rPr>
          <w:rFonts w:hint="default" w:ascii="Times New Roman" w:hAnsi="Times New Roman" w:eastAsia="helvetica" w:cs="Times New Roman"/>
          <w:b/>
          <w:bCs/>
          <w:i w:val="0"/>
          <w:iCs w:val="0"/>
          <w:caps w:val="0"/>
          <w:color w:val="212121"/>
          <w:spacing w:val="0"/>
          <w:sz w:val="32"/>
          <w:szCs w:val="32"/>
          <w:shd w:val="clear" w:fill="FFFFFF"/>
        </w:rPr>
        <w:t>ПОЛОЖЕНИЕ</w:t>
      </w:r>
    </w:p>
    <w:p w14:paraId="25C7D8AF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40" w:lineRule="auto"/>
        <w:ind w:left="0" w:right="0" w:firstLine="0"/>
        <w:jc w:val="center"/>
        <w:rPr>
          <w:rFonts w:hint="default" w:ascii="Times New Roman" w:hAnsi="Times New Roman" w:eastAsia="helvetica" w:cs="Times New Roman"/>
          <w:i w:val="0"/>
          <w:iCs w:val="0"/>
          <w:caps w:val="0"/>
          <w:color w:val="212121"/>
          <w:spacing w:val="0"/>
          <w:sz w:val="32"/>
          <w:szCs w:val="32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212121"/>
          <w:spacing w:val="0"/>
          <w:sz w:val="32"/>
          <w:szCs w:val="32"/>
          <w:shd w:val="clear" w:fill="FFFFFF"/>
        </w:rPr>
        <w:t xml:space="preserve">о порядке </w:t>
      </w: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212121"/>
          <w:spacing w:val="0"/>
          <w:sz w:val="32"/>
          <w:szCs w:val="32"/>
          <w:shd w:val="clear" w:fill="FFFFFF"/>
          <w:lang w:val="ru-RU"/>
        </w:rPr>
        <w:t>приёма</w:t>
      </w: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212121"/>
          <w:spacing w:val="0"/>
          <w:sz w:val="32"/>
          <w:szCs w:val="32"/>
          <w:shd w:val="clear" w:fill="FFFFFF"/>
        </w:rPr>
        <w:t xml:space="preserve"> на обучение по образовательным программам дошкольного образования (в том чи</w:t>
      </w:r>
      <w:bookmarkStart w:id="0" w:name="_GoBack"/>
      <w:bookmarkEnd w:id="0"/>
      <w:r>
        <w:rPr>
          <w:rFonts w:hint="default" w:ascii="Times New Roman" w:hAnsi="Times New Roman" w:eastAsia="helvetica" w:cs="Times New Roman"/>
          <w:i w:val="0"/>
          <w:iCs w:val="0"/>
          <w:caps w:val="0"/>
          <w:color w:val="212121"/>
          <w:spacing w:val="0"/>
          <w:sz w:val="32"/>
          <w:szCs w:val="32"/>
          <w:shd w:val="clear" w:fill="FFFFFF"/>
        </w:rPr>
        <w:t>сле по дополнительным)</w:t>
      </w:r>
    </w:p>
    <w:p w14:paraId="3EDA4CAB">
      <w:pPr>
        <w:jc w:val="both"/>
        <w:rPr>
          <w:b/>
        </w:rPr>
      </w:pPr>
    </w:p>
    <w:p w14:paraId="60958772">
      <w:pPr>
        <w:pStyle w:val="6"/>
        <w:numPr>
          <w:ilvl w:val="0"/>
          <w:numId w:val="1"/>
        </w:numPr>
        <w:jc w:val="center"/>
        <w:rPr>
          <w:b/>
        </w:rPr>
      </w:pPr>
      <w:r>
        <w:rPr>
          <w:b/>
        </w:rPr>
        <w:t>Общие положения</w:t>
      </w:r>
    </w:p>
    <w:p w14:paraId="082B9B6D">
      <w:pPr>
        <w:pStyle w:val="7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Настоящие  Правила приема на обучение по образовательным программам дошкольного образования и отчисления в МАДОУ «Детский сад № 295» (далее – правила) разработаны </w:t>
      </w:r>
      <w:r>
        <w:rPr>
          <w:rFonts w:ascii="Times New Roman" w:hAnsi="Times New Roman"/>
          <w:sz w:val="24"/>
          <w:szCs w:val="24"/>
        </w:rPr>
        <w:br w:type="textWrapping"/>
      </w:r>
      <w:r>
        <w:rPr>
          <w:rFonts w:ascii="Times New Roman" w:hAnsi="Times New Roman"/>
          <w:sz w:val="24"/>
          <w:szCs w:val="24"/>
        </w:rPr>
        <w:t>соответствии с </w:t>
      </w:r>
      <w:r>
        <w:fldChar w:fldCharType="begin"/>
      </w:r>
      <w:r>
        <w:instrText xml:space="preserve"> HYPERLINK "https://mini.1obraz.ru/" \l "/document/99/902389617/" </w:instrText>
      </w:r>
      <w:r>
        <w:fldChar w:fldCharType="separate"/>
      </w:r>
      <w:r>
        <w:rPr>
          <w:rStyle w:val="4"/>
          <w:rFonts w:ascii="Times New Roman" w:hAnsi="Times New Roman"/>
          <w:color w:val="01745C"/>
          <w:sz w:val="24"/>
          <w:szCs w:val="24"/>
        </w:rPr>
        <w:t>Федеральным законом от 29.12.2012 № 273-ФЗ</w:t>
      </w:r>
      <w:r>
        <w:rPr>
          <w:rStyle w:val="4"/>
          <w:rFonts w:ascii="Times New Roman" w:hAnsi="Times New Roman"/>
          <w:color w:val="01745C"/>
          <w:sz w:val="24"/>
          <w:szCs w:val="24"/>
        </w:rPr>
        <w:fldChar w:fldCharType="end"/>
      </w:r>
      <w:r>
        <w:rPr>
          <w:rFonts w:ascii="Times New Roman" w:hAnsi="Times New Roman"/>
          <w:sz w:val="24"/>
          <w:szCs w:val="24"/>
        </w:rPr>
        <w:t> «Об образовании в Российской Федерации», Порядком приема на обучение по образовательным программам дошкольного образования, утвержденным </w:t>
      </w:r>
      <w:r>
        <w:fldChar w:fldCharType="begin"/>
      </w:r>
      <w:r>
        <w:instrText xml:space="preserve"> HYPERLINK "https://mini.1obraz.ru/" \l "/document/97/479998/" </w:instrText>
      </w:r>
      <w:r>
        <w:fldChar w:fldCharType="separate"/>
      </w:r>
      <w:r>
        <w:rPr>
          <w:rStyle w:val="4"/>
          <w:rFonts w:ascii="Times New Roman" w:hAnsi="Times New Roman"/>
          <w:color w:val="01745C"/>
          <w:sz w:val="24"/>
          <w:szCs w:val="24"/>
        </w:rPr>
        <w:t>приказом Минпросвещения России от 15.05.2020 № 236</w:t>
      </w:r>
      <w:r>
        <w:rPr>
          <w:rStyle w:val="4"/>
          <w:rFonts w:ascii="Times New Roman" w:hAnsi="Times New Roman"/>
          <w:color w:val="01745C"/>
          <w:sz w:val="24"/>
          <w:szCs w:val="24"/>
        </w:rPr>
        <w:fldChar w:fldCharType="end"/>
      </w:r>
      <w:r>
        <w:rPr>
          <w:rFonts w:ascii="Times New Roman" w:hAnsi="Times New Roman"/>
          <w:sz w:val="24"/>
          <w:szCs w:val="24"/>
        </w:rPr>
        <w:t>, Порядком и условиями осуществления перевода обучающихся из одной организации, осуществляющей образовательную деятельность по образовательным программам дошкольного образования, в другие организации, осуществляющие образовательную деятельность по образовательным программам соответствующих уровня и направленности, утвержденным </w:t>
      </w:r>
      <w:r>
        <w:fldChar w:fldCharType="begin"/>
      </w:r>
      <w:r>
        <w:instrText xml:space="preserve"> HYPERLINK "https://mini.1obraz.ru/" \l "/document/99/420332837/" </w:instrText>
      </w:r>
      <w:r>
        <w:fldChar w:fldCharType="separate"/>
      </w:r>
      <w:r>
        <w:rPr>
          <w:rStyle w:val="4"/>
          <w:rFonts w:ascii="Times New Roman" w:hAnsi="Times New Roman"/>
          <w:color w:val="01745C"/>
          <w:sz w:val="24"/>
          <w:szCs w:val="24"/>
        </w:rPr>
        <w:t>приказом Минобрнауки России от 28.12.2015 № 1527</w:t>
      </w:r>
      <w:r>
        <w:rPr>
          <w:rStyle w:val="4"/>
          <w:rFonts w:ascii="Times New Roman" w:hAnsi="Times New Roman"/>
          <w:color w:val="01745C"/>
          <w:sz w:val="24"/>
          <w:szCs w:val="24"/>
        </w:rPr>
        <w:fldChar w:fldCharType="end"/>
      </w:r>
      <w:r>
        <w:rPr>
          <w:rFonts w:ascii="Times New Roman" w:hAnsi="Times New Roman"/>
          <w:sz w:val="24"/>
          <w:szCs w:val="24"/>
        </w:rPr>
        <w:t>, и Уставом МАДОУ «Детский сад № 295» Настоящие Правила определяют правила приема детей в МАДОУ «Детский сад № 295» на обучение по образовательным программам дошкольного образования, а также порядок комплектования групп, перевода воспитанников из одной группы в другую, отчисление их из учреждения.</w:t>
      </w:r>
    </w:p>
    <w:p w14:paraId="44390840">
      <w:pPr>
        <w:pStyle w:val="7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Целью настоящих Правил является:</w:t>
      </w:r>
    </w:p>
    <w:p w14:paraId="3DB1E172">
      <w:pPr>
        <w:pStyle w:val="7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урегулирование отношений между Учреждением и родителями (законными представителями) несовершеннолетних детей при приеме на обучение по образовательным программам дошкольного образования и отчисление воспитанников из Учреждения;</w:t>
      </w:r>
    </w:p>
    <w:p w14:paraId="7452F37A">
      <w:pPr>
        <w:pStyle w:val="7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обеспечение прав граждан на общедоступное дошкольное образование детей дошкольного возраста в МАДОУ.</w:t>
      </w:r>
    </w:p>
    <w:p w14:paraId="3D719378">
      <w:pPr>
        <w:pStyle w:val="7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Муниципальная политика в области приёма детей в МАДОУ основывается на принципах открытости, демократичности.</w:t>
      </w:r>
    </w:p>
    <w:p w14:paraId="70B3A36E">
      <w:pPr>
        <w:pStyle w:val="7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Учреждении гарантируется получение образования на двух равноправных государственных языках Республики Татарстан: русском и татарском.</w:t>
      </w:r>
    </w:p>
    <w:p w14:paraId="1E1390C2">
      <w:pPr>
        <w:pStyle w:val="7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Выбор языка образования, изучаемых родного языка из числа языков народов РФ, в том числе русского языка, как родного языка, государственных языков Республик  РФ, осуществляется по заявлениям родителей (законных представителей) детей при приеме (переводе) на обучение. </w:t>
      </w:r>
    </w:p>
    <w:p w14:paraId="554E0D3D">
      <w:pPr>
        <w:pStyle w:val="7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Комплектование МАДОУ детьми осуществляет отдел образования ИК Кировского и Московского районов г.Казани на основании заявки в МАДОУ.</w:t>
      </w:r>
    </w:p>
    <w:p w14:paraId="11549F20">
      <w:pPr>
        <w:pStyle w:val="7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МАДОУ могут быть приняты дети от 1.5 до 7 лет. </w:t>
      </w:r>
    </w:p>
    <w:p w14:paraId="4CBBAB82">
      <w:pPr>
        <w:pStyle w:val="7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Срок действия положения не ограничен, до принятия нового.</w:t>
      </w:r>
    </w:p>
    <w:p w14:paraId="205F8804">
      <w:pPr>
        <w:pStyle w:val="7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Порядок приема воспитанников в Учреждение</w:t>
      </w:r>
    </w:p>
    <w:p w14:paraId="0F60D21B">
      <w:pPr>
        <w:pStyle w:val="7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Прием детей в Учреждение осуществляется после проведения процедуры комплектования Учредителем в сроки, определенные для комплектования групп по административному регламенту.</w:t>
      </w:r>
    </w:p>
    <w:p w14:paraId="423A4E49">
      <w:pPr>
        <w:pStyle w:val="7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 приеме детей в МАДОУ проживающие в одной семье и имеющие общее место жительства дети имеют право на преимущество приема на обучение по основным общеобразовательным программам дошкольного образования в которых обучаются их братья и (или) сестры</w:t>
      </w:r>
    </w:p>
    <w:p w14:paraId="754979A6">
      <w:pPr>
        <w:pStyle w:val="7"/>
        <w:numPr>
          <w:ilvl w:val="1"/>
          <w:numId w:val="1"/>
        </w:num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Количество групп в Учреждении определяется Учредителем с учетом условий, необходимых для осуществления образовательного процесса в соответствии с санитарно-гигиеническими нормами.</w:t>
      </w:r>
    </w:p>
    <w:p w14:paraId="1F16AD42">
      <w:pPr>
        <w:pStyle w:val="7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Прием в Учреждение осуществляется в течение всего календарного года при наличии свободных мест.</w:t>
      </w:r>
    </w:p>
    <w:p w14:paraId="0C52B0A9">
      <w:pPr>
        <w:pStyle w:val="7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Заявитель в срок до 30 календарных дней после присвоения статуса «Направлен в ДОУ» обязан явиться в Учреждение для зачисления ребёнка или сообщить руководителю учреждения о дате прихода в Учреждение для зачисления ребёнка.</w:t>
      </w:r>
    </w:p>
    <w:p w14:paraId="5E422BE2">
      <w:pPr>
        <w:pStyle w:val="7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случае, если Заявителя не удовлетворяет Учреждение, в которое он направлен, и Заявитель не согласен ждать следующего комплектования Учреждений, Заявителем оформляется отказ от получения муниципальной услуги.</w:t>
      </w:r>
    </w:p>
    <w:p w14:paraId="4DF22C1E">
      <w:pPr>
        <w:pStyle w:val="7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случае неявки Заявителя в Учреждение после присвоения заявлению статуса «Направлен в ДОУ» в течение 90 календарных дней, оказание муниципальной услуги Заявителю приостанавливается. Заявлению  в Статусе систем присваивается статус «Не явился». </w:t>
      </w:r>
    </w:p>
    <w:p w14:paraId="0A55DFBF">
      <w:pPr>
        <w:pStyle w:val="7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Основанием для приёма заявления родителей (законных представителей) ребёнка в МАДОУ является протокол Комиссии по комплектованию, а также присвоение в автоматизированной системе «Электронный детский сад» заявлению о постановке на учёт статуса «Направлен в ДОУ». Сообщение о присвоении данного статуса отображается на Портале государственных и муниципальных услуг Республики Татарстан.</w:t>
      </w:r>
    </w:p>
    <w:p w14:paraId="4E89EDE5">
      <w:pPr>
        <w:pStyle w:val="7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Руководитель Учреждения в течение 1 рабочего дня с момента обращения Заявителя регистрирует заявление о зачислении ребёнка в Учреждение в книге учёта движения воспитанников в ДОУ и присваивает заявлению статус «Заключение договора».</w:t>
      </w:r>
    </w:p>
    <w:p w14:paraId="713A7639">
      <w:pPr>
        <w:pStyle w:val="7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После заключения договора - присваивается статус «Зачислен в ДОУ».</w:t>
      </w:r>
    </w:p>
    <w:p w14:paraId="6B7C50A4">
      <w:pPr>
        <w:pStyle w:val="7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Прием в Учреждение осуществляется после представления родителями (законными представителями) следующих документов:</w:t>
      </w:r>
    </w:p>
    <w:p w14:paraId="34C582A8">
      <w:pPr>
        <w:pStyle w:val="7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медицинская карта (ф. №26);</w:t>
      </w:r>
    </w:p>
    <w:p w14:paraId="64B4DDE1">
      <w:pPr>
        <w:pStyle w:val="7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-письменное заявление одного из родителей (законных представителей);</w:t>
      </w:r>
    </w:p>
    <w:p w14:paraId="085E7414">
      <w:pPr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копии документов, подтверждающих право на социальную поддержку по плате за содержание ребёнка.</w:t>
      </w:r>
    </w:p>
    <w:p w14:paraId="32A8E61D">
      <w:pPr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пребывания;</w:t>
      </w:r>
    </w:p>
    <w:p w14:paraId="20F7FAC0">
      <w:pPr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родители (законные представители) детей, являющихся иностранными гражданами или лицами без гражданства, дополнительно предъявляют документ, подтверждающий родство заявителя (или законность представления прав ребенка), и документ, подтверждающий право заявителя на пребывание в Российской Федерации.</w:t>
      </w:r>
    </w:p>
    <w:p w14:paraId="07730291">
      <w:pPr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14:paraId="6242D10C">
      <w:pPr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заявлении родителями (законным представителям) ребенка указываются следующие сведения:</w:t>
      </w:r>
    </w:p>
    <w:p w14:paraId="3F24C8F7">
      <w:pPr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фамилия, имя, отчество  ребенка;</w:t>
      </w:r>
    </w:p>
    <w:p w14:paraId="67E5B096">
      <w:pPr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дата и место рождения ребенка;</w:t>
      </w:r>
    </w:p>
    <w:p w14:paraId="5A8C3628">
      <w:pPr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реквизиты свидетельства о рождении ребенка;</w:t>
      </w:r>
    </w:p>
    <w:p w14:paraId="43BD46E8">
      <w:pPr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г) адрес места жительства (места пребывания, места фактического проживания) ребенка;</w:t>
      </w:r>
    </w:p>
    <w:p w14:paraId="6C7A3E8F">
      <w:pPr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д) фамилия, имя, отчество (последнее при наличии) родителей (законных представителей) ребенка;</w:t>
      </w:r>
    </w:p>
    <w:p w14:paraId="21A7CDF2">
      <w:pPr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е) реквизиты документа, удостоверяющего личность родителя (законного представителя) ребенка;</w:t>
      </w:r>
    </w:p>
    <w:p w14:paraId="03AEB260">
      <w:pPr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ж) реквизиты документа, подтверждающего установление опеки (при наличии);</w:t>
      </w:r>
    </w:p>
    <w:p w14:paraId="4949CD9B">
      <w:pPr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з) адрес электронной почты, номер телефона (при наличии) родителей (законных представителей) ребенка;</w:t>
      </w:r>
    </w:p>
    <w:p w14:paraId="0EB63E6D">
      <w:pPr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и) выбор языка образования, родного языка из числа языков народов Республики Татарстан, в том числе русского языка как родного языка;</w:t>
      </w:r>
    </w:p>
    <w:p w14:paraId="3ECA4701">
      <w:pPr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к) о потребности обучения  ребенка по адаптированной образовательной программе дошкольного образования и (или) создание специальных условий для организации обучения и воспитания ребенка-инвалида в соответствии с индивидуальной программой реабилитации (при наличии);</w:t>
      </w:r>
    </w:p>
    <w:p w14:paraId="6CA21F6B">
      <w:pPr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л) о направленности дошкольной группы;</w:t>
      </w:r>
    </w:p>
    <w:p w14:paraId="436CF080">
      <w:pPr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м) о необходимом режиме пребывания ребенка;</w:t>
      </w:r>
    </w:p>
    <w:p w14:paraId="3C34A3FD">
      <w:pPr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н) о желаемой дате приема на обучение;</w:t>
      </w:r>
    </w:p>
    <w:p w14:paraId="296AC762">
      <w:pPr>
        <w:ind w:left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Форма заявления размещается образовательной организацией на информационном стенде и на официальном сайте Учреждения в сети Интернет.</w:t>
      </w:r>
    </w:p>
    <w:p w14:paraId="4B87AF7E">
      <w:pPr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Копии предъявляемых при приеме документов хранятся в Учреждении на время обучения ребенка.</w:t>
      </w:r>
    </w:p>
    <w:p w14:paraId="25CF5016">
      <w:pPr>
        <w:pStyle w:val="7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Заявление о приеме в Учреждение и прилагаемые к нему документы, </w:t>
      </w:r>
    </w:p>
    <w:p w14:paraId="72723557">
      <w:pPr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представленные родителями (законными представителями) детей, регистрируются руководителем Учреждения или уполномоченным им должностным лицом, ответственным за прием документов, в журнале приема заявлений о приеме в Учреждение. После регистрации заявления родителями (законными представителями) детей выдается расписка в получении документов, содержащая информацию о регистрационном номере заявления о приеме ребенка в Учреждение, перечне представленных документов. Расписка заверяется подписью должностного лица Учреждения,  ответственного за прием документов, и печатью образовательной организации.</w:t>
      </w:r>
    </w:p>
    <w:p w14:paraId="51A18BC0">
      <w:pPr>
        <w:pStyle w:val="7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После приема документов Учреждение заключает договор об образовании по образовательным программам дошкольного образования (далее – договор) с родителями (законными представителями) ребенка. Договор заключается накануне, либо в первый день посещения ребёнком дошкольного учреждения в двух экземплярах.</w:t>
      </w:r>
    </w:p>
    <w:p w14:paraId="2AFA30BE">
      <w:pPr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Руководитель Учреждения издает приказ о зачислении ребенка в Учреждение (далее - приказ) в течение трех дней после заключения договора.</w:t>
      </w:r>
    </w:p>
    <w:p w14:paraId="40769A7D">
      <w:pPr>
        <w:pStyle w:val="7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Учреждение обязано ознакомить родителей (законных представителей) с своим уставом, лицензией на право ведения образовательной деятельности, с образовательными программами и другими документами, регламентирующими деятельность организации и осуществление образовательной деятельности, правами и обязанностями воспитанников.</w:t>
      </w:r>
    </w:p>
    <w:p w14:paraId="33ED19FC">
      <w:pPr>
        <w:pStyle w:val="7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Факт ознакомления родителей (законных представителей) ребенка</w:t>
      </w:r>
    </w:p>
    <w:p w14:paraId="5C2ABF71">
      <w:pPr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 лицензией на осуществление образовательной деятельности, уставом Учреждения и другими документами фиксируется в заявлении о приеме и заверяется личной подписью родителей (законных представителей) ребенка. 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Федерации.</w:t>
      </w:r>
    </w:p>
    <w:p w14:paraId="71936A6C">
      <w:pPr>
        <w:pStyle w:val="7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 каждого ребенка, зачисленного в Учреждение, заводится личное дело, в котором хранятся все сданные документы.</w:t>
      </w:r>
    </w:p>
    <w:p w14:paraId="357AD1A0">
      <w:pPr>
        <w:pStyle w:val="7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Учреждении ведется «Книга учета движения детей» (далее – Книга). </w:t>
      </w:r>
    </w:p>
    <w:p w14:paraId="15594B01">
      <w:pPr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Книга предназначена для информационных сведений о воспитанниках и родителях (законных представителях) и осуществления контроля движения (приема и отчисления) контингента воспитанников. Книга прошнурована, пронумерована и скреплена печатью Учреждения.</w:t>
      </w:r>
    </w:p>
    <w:p w14:paraId="7ABD3966">
      <w:pPr>
        <w:pStyle w:val="6"/>
        <w:numPr>
          <w:ilvl w:val="1"/>
          <w:numId w:val="1"/>
        </w:numPr>
        <w:jc w:val="both"/>
      </w:pPr>
      <w:r>
        <w:t>Приём детей во вновь набираемые группы осуществляется после выпуска детей подготовительной к школе групп до 31  августа текущего года включительно.</w:t>
      </w:r>
    </w:p>
    <w:p w14:paraId="4D0F13DA">
      <w:pPr>
        <w:pStyle w:val="6"/>
        <w:numPr>
          <w:ilvl w:val="1"/>
          <w:numId w:val="1"/>
        </w:numPr>
        <w:jc w:val="both"/>
      </w:pPr>
      <w:r>
        <w:t>Дополнительный набор детей вместо выбывших осуществляется в течение учебного года, согласно потребности.</w:t>
      </w:r>
    </w:p>
    <w:p w14:paraId="159A0DE5">
      <w:pPr>
        <w:pStyle w:val="6"/>
        <w:numPr>
          <w:ilvl w:val="1"/>
          <w:numId w:val="1"/>
        </w:numPr>
        <w:jc w:val="both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SimSun" w:cs="Times New Roman"/>
          <w:sz w:val="24"/>
          <w:szCs w:val="24"/>
        </w:rPr>
        <w:t xml:space="preserve">Прием детей с ограниченными возможностями здоровья на обучение по адаптированным программам дошкольного образования осуществляется только с согласия родителей (законных представителей) и на основании заявления, рекомендаций психолого-медикопедагогической комиссии. </w:t>
      </w:r>
    </w:p>
    <w:p w14:paraId="59D6FB33">
      <w:pPr>
        <w:pStyle w:val="6"/>
        <w:numPr>
          <w:ilvl w:val="1"/>
          <w:numId w:val="1"/>
        </w:numPr>
        <w:jc w:val="both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SimSun" w:cs="Times New Roman"/>
          <w:sz w:val="24"/>
          <w:szCs w:val="24"/>
        </w:rPr>
        <w:t>В соответствии со ст.67 ФЗ от 29.12.2012 г. № 273-ФЗ «Об образовании в Российской Федерации» ребенок, в том числе усыновленный (удочеренный) или находящийся под опекой или попечительством в семье, включая приемную семью либо в случаях, предусмотренных законами субъектов Российской Федерации, патронатную семью, имеет право преимущественного приема на обучение по основным общеобразовательным программам в МАДОУ «Детский сад №</w:t>
      </w:r>
      <w:r>
        <w:rPr>
          <w:rFonts w:hint="default" w:ascii="Times New Roman" w:hAnsi="Times New Roman" w:eastAsia="SimSun" w:cs="Times New Roman"/>
          <w:sz w:val="24"/>
          <w:szCs w:val="24"/>
          <w:lang w:val="ru-RU"/>
        </w:rPr>
        <w:t>295</w:t>
      </w:r>
      <w:r>
        <w:rPr>
          <w:rFonts w:hint="default" w:ascii="Times New Roman" w:hAnsi="Times New Roman" w:eastAsia="SimSun" w:cs="Times New Roman"/>
          <w:sz w:val="24"/>
          <w:szCs w:val="24"/>
        </w:rPr>
        <w:t xml:space="preserve">», в котором обучаются его брат и (или) сестра (полнородные и неполнородные, усыновленные (удочеренные), дети, опекунами (попечителями) которых являются родители (законные представители) этого ребенка, или дети, родителями (законными представителями) которых являются опекуны (попечители) этого ребенка (в ред.Федерального закона от 21.11.2022 г. № 465-ФЗ). </w:t>
      </w:r>
    </w:p>
    <w:p w14:paraId="2158CC9E">
      <w:pPr>
        <w:pStyle w:val="6"/>
        <w:numPr>
          <w:ilvl w:val="1"/>
          <w:numId w:val="1"/>
        </w:numPr>
        <w:jc w:val="both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SimSun" w:cs="Times New Roman"/>
          <w:sz w:val="24"/>
          <w:szCs w:val="24"/>
        </w:rPr>
        <w:t>В соответствии с п.8 ст.24 (введен ФЗ от 24.06.2023 г. № 281-ФЗ) Федерального закона от 27.05.1998 г. № 76-ФЗ «О статусе военнослужащих» (в ред.от 26.02.2024) (далее – ФЗ № 76-ФЗ от 27.05.1998 г.) детям военнослужащих и детям граждан, пребывавших в добровольческих формированиях, погибших (умерших) при выполнении задач в специальной военной операции либо позднее указанного периода, но вследствие увечья (ранения, травмы, контузии) или заболевания, полученных при выполнении задач в ходе проведения специальное военной операции, в том числе усыновленным (удочеренным) или находящимся под опекой или попечительством в семье, включая приемную семью либо в случаях, предусмотренных законами субъектов Российской Федерации, патронатную семью, предоставляются во внеочередном порядке место в МАДОУ «Детский сад №</w:t>
      </w:r>
      <w:r>
        <w:rPr>
          <w:rFonts w:hint="default" w:ascii="Times New Roman" w:hAnsi="Times New Roman" w:eastAsia="SimSun" w:cs="Times New Roman"/>
          <w:sz w:val="24"/>
          <w:szCs w:val="24"/>
          <w:lang w:val="ru-RU"/>
        </w:rPr>
        <w:t>295</w:t>
      </w:r>
      <w:r>
        <w:rPr>
          <w:rFonts w:hint="default" w:ascii="Times New Roman" w:hAnsi="Times New Roman" w:eastAsia="SimSun" w:cs="Times New Roman"/>
          <w:sz w:val="24"/>
          <w:szCs w:val="24"/>
        </w:rPr>
        <w:t>» по месту жительства их семей. Согласно ст.28.1 Федерального закона от 03.07.2016 № 226-ФЗ «О войсках национальной гвардии Российской Федерации» (далее – ФЗ № 226-ФЗ от 03.07.2016) детям сотрудника, погибшего (умершего) при выполнении задач в специальной военной операции либо позднее указанного периода, но вследствие увечья (ранения, травмы, контузии) или заболевания, полученных при выполнении задач в ходе проведения специальной военной операции, в том числе усыновленным (удочеренным) или находящимся под опекой или попечительством в семье, включая приемную семью либо в случаях, предусмотренных законами субъектов Российской Федерации, патронатную семью, предоставляются во внеочередном порядке места в МАДОУ «Детский сад №</w:t>
      </w:r>
      <w:r>
        <w:rPr>
          <w:rFonts w:hint="default" w:ascii="Times New Roman" w:hAnsi="Times New Roman" w:eastAsia="SimSun" w:cs="Times New Roman"/>
          <w:sz w:val="24"/>
          <w:szCs w:val="24"/>
          <w:lang w:val="ru-RU"/>
        </w:rPr>
        <w:t>295</w:t>
      </w:r>
      <w:r>
        <w:rPr>
          <w:rFonts w:hint="default" w:ascii="Times New Roman" w:hAnsi="Times New Roman" w:eastAsia="SimSun" w:cs="Times New Roman"/>
          <w:sz w:val="24"/>
          <w:szCs w:val="24"/>
        </w:rPr>
        <w:t xml:space="preserve">» по месту жительства их семей. </w:t>
      </w:r>
    </w:p>
    <w:p w14:paraId="1EDB5150">
      <w:pPr>
        <w:pStyle w:val="6"/>
        <w:numPr>
          <w:ilvl w:val="0"/>
          <w:numId w:val="1"/>
        </w:numPr>
        <w:jc w:val="center"/>
        <w:rPr>
          <w:b/>
        </w:rPr>
      </w:pPr>
      <w:r>
        <w:rPr>
          <w:b/>
        </w:rPr>
        <w:t>Прием детей в порядке перевода из другой образовательной организации.</w:t>
      </w:r>
    </w:p>
    <w:p w14:paraId="0DD9B464">
      <w:pPr>
        <w:pStyle w:val="6"/>
        <w:numPr>
          <w:ilvl w:val="1"/>
          <w:numId w:val="1"/>
        </w:numPr>
      </w:pPr>
      <w:r>
        <w:t>Прием в МАДОУ детей, ранее посещающих другие дошкольные образовательные организации, осуществляется в соответствии с требованиями, установленными разделом 2 настоящих правил.</w:t>
      </w:r>
    </w:p>
    <w:p w14:paraId="5682BECA">
      <w:pPr>
        <w:pStyle w:val="6"/>
        <w:numPr>
          <w:ilvl w:val="1"/>
          <w:numId w:val="1"/>
        </w:numPr>
      </w:pPr>
      <w:r>
        <w:t>В случае если ребенок не посещал дошкольную образовательную организацию менее 10 дней, родителями (законными представителями) предъявляется медицинская карта, выданная дошкольной образовательной организацией, которую ребенок посещал ранее, о состоянии здоровья.</w:t>
      </w:r>
    </w:p>
    <w:p w14:paraId="164E1445">
      <w:pPr>
        <w:pStyle w:val="6"/>
        <w:numPr>
          <w:ilvl w:val="1"/>
          <w:numId w:val="1"/>
        </w:numPr>
      </w:pPr>
      <w:r>
        <w:t>В случае, если ребенок не посещал МАДОУ более 10 дней (за исключением выходных и праздничных дней), родители (законные представители) предъявляют медицинскую справку о состоянии здоровья.</w:t>
      </w:r>
    </w:p>
    <w:p w14:paraId="2DCC46D8">
      <w:pPr>
        <w:pStyle w:val="6"/>
      </w:pPr>
    </w:p>
    <w:p w14:paraId="2F0F8D08">
      <w:pPr>
        <w:pStyle w:val="7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Отчисление воспитанников из Учреждения</w:t>
      </w:r>
    </w:p>
    <w:p w14:paraId="50130A75">
      <w:pPr>
        <w:pStyle w:val="7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Отчисление воспитанника из Учреждения происходит:</w:t>
      </w:r>
    </w:p>
    <w:p w14:paraId="28F724CB">
      <w:pPr>
        <w:pStyle w:val="7"/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связи с получением образования (завершением обучения);</w:t>
      </w:r>
    </w:p>
    <w:p w14:paraId="3F00211F">
      <w:pPr>
        <w:pStyle w:val="7"/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досрочно по основаниям, указанным в п.3.2. настоящего Положения.</w:t>
      </w:r>
    </w:p>
    <w:p w14:paraId="4ED3BB6C">
      <w:pPr>
        <w:pStyle w:val="7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Образовательные отношения могут быть прекращены досрочно в следующих случаях:</w:t>
      </w:r>
    </w:p>
    <w:p w14:paraId="35E42440">
      <w:pPr>
        <w:pStyle w:val="7"/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 инициативе родителей (законных представителей) несовершеннолетнего воспитанника, в том числе в случае перевода воспитанника в другую организацию, осуществляющую образовательную деятельность;  </w:t>
      </w:r>
    </w:p>
    <w:p w14:paraId="37EABEE2">
      <w:pPr>
        <w:pStyle w:val="7"/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по обстоятельствам, не зависящим от воли родителей (законных представителей) несовершеннолетнего воспитанника и Учреждения, в том числе в случае ликвидации Учреждения.</w:t>
      </w:r>
    </w:p>
    <w:p w14:paraId="7DA1AFC3">
      <w:pPr>
        <w:pStyle w:val="7"/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На основании заключения психолого- медико-педагогической комиссии о переводе воспитанника в компенсирующий детский сад;</w:t>
      </w:r>
    </w:p>
    <w:p w14:paraId="6517A69C">
      <w:pPr>
        <w:pStyle w:val="7"/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 основании медицинского заключения о состоянии здоровья ребёнка, препятствующего его дальнейшему пребыванию в МАДОУ</w:t>
      </w:r>
    </w:p>
    <w:p w14:paraId="729303CD">
      <w:pPr>
        <w:pStyle w:val="7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Отчисление детей из Учреждения оформляется приказом заведующего с внесением соответствующей записи в Книгу и внесением изменений в АИС «Электронный детский сад»</w:t>
      </w:r>
    </w:p>
    <w:p w14:paraId="0F69FC99">
      <w:pPr>
        <w:pStyle w:val="7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Основания для отказа в зачислении воспитанника в МАДОУ</w:t>
      </w:r>
    </w:p>
    <w:p w14:paraId="66DA2CE1">
      <w:pPr>
        <w:pStyle w:val="7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Родителям (законным представителям ребёнка может быть отказано в приёме ребёнка в МАДОУ в случае, если:</w:t>
      </w:r>
    </w:p>
    <w:p w14:paraId="47529BD0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в Системе отсутствует информация о направлении ребёнка в МАДОУ;                                                                                                 - имеются медицинские противопоказания к посещению ребёнком МАДОУ;                                                                                             - родители (законные представители) обратились в МАДОУ по истечении срока 30 дней после                                                        присвоения заявлению о постановке на учёт в Системе статуса «Направлен в ДОУ». </w:t>
      </w:r>
    </w:p>
    <w:p w14:paraId="2A471F4B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6. Порядок перевода воспитанников из одной возрастной группы в другую. </w:t>
      </w:r>
    </w:p>
    <w:p w14:paraId="0C7EE29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 xml:space="preserve">6.1.   Перевод воспитанников из одной возрастной группы в другую  осуществляет заведующий                                                   МАДОУ на основании приказа.                                                                                                                                                             </w:t>
      </w:r>
    </w:p>
    <w:p w14:paraId="7D97C29A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6.2. Воспитанники МАДОУ переводятся из одной группы в другую в следующих случаях:                                                                          - ежегодно в августе месяце при массовом переводе из одной группы в другую, в связи с     достижением соответствующего возраста для перевода;                                                                                                                             </w:t>
      </w:r>
    </w:p>
    <w:p w14:paraId="0A24722A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-по заявлению родителей (законных представителей), при наличии свободных мест в желаемой группе, с учётом возраста ребёнка.                                                                                                                                   </w:t>
      </w:r>
    </w:p>
    <w:p w14:paraId="70548883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6.3.  Временное объединение детей различного возраста в одной группе осуществляется при  необходимости в случаях сокращения количества детей в группе (карантин, летний период, период ремонтных работ).</w:t>
      </w:r>
    </w:p>
    <w:p w14:paraId="60CA7BBD">
      <w:pPr>
        <w:spacing w:line="240" w:lineRule="atLeast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7. Сохранение места за воспитанником.    </w:t>
      </w:r>
    </w:p>
    <w:p w14:paraId="5A53FFB2">
      <w:pPr>
        <w:spacing w:line="240" w:lineRule="atLeas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</w:t>
      </w:r>
      <w:r>
        <w:rPr>
          <w:rFonts w:ascii="Times New Roman" w:hAnsi="Times New Roman"/>
          <w:sz w:val="24"/>
          <w:szCs w:val="24"/>
        </w:rPr>
        <w:t>6.1. Место за воспитанником, посещающим  МАДОУ, сохраняется на время:                                                                                        - болезни;                                                                                                                                                                                                                       - пребывания в условиях карантина;                                                                                                                                                                         -  прохождения санитарно-курортного лечения;</w:t>
      </w:r>
    </w:p>
    <w:p w14:paraId="07AE4B25">
      <w:pPr>
        <w:spacing w:line="240" w:lineRule="atLeast"/>
        <w:ind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 отпуска или временного отсутствия родителей (законных представителей) по  уважительной причине (болезнь, командировка);                                                                                                                                                                                                  </w:t>
      </w:r>
    </w:p>
    <w:p w14:paraId="342C7AD2">
      <w:pPr>
        <w:spacing w:line="240" w:lineRule="atLeast"/>
        <w:ind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иных случаев в соответствии с семейными обстоятельствами по заявлению родителей.</w:t>
      </w:r>
    </w:p>
    <w:p w14:paraId="4421B414">
      <w:pPr>
        <w:ind w:left="426"/>
        <w:jc w:val="center"/>
        <w:rPr>
          <w:rFonts w:ascii="Times New Roman" w:hAnsi="Times New Roman"/>
          <w:b/>
          <w:sz w:val="24"/>
          <w:szCs w:val="24"/>
        </w:rPr>
      </w:pPr>
    </w:p>
    <w:p w14:paraId="736B944A">
      <w:pPr>
        <w:ind w:left="426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8. Прием на обучение по дополнительным образовательным программам.</w:t>
      </w:r>
    </w:p>
    <w:p w14:paraId="526E7DB1">
      <w:pPr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8.1.На обучение по дополнительным общеразвивающим программам, реализуемым в МАДОУ в соответствии с лицензией, принимаются воспитанники на основании свободного выбора родителей (законных представителей) ребенка.</w:t>
      </w:r>
    </w:p>
    <w:p w14:paraId="7E4AE68C">
      <w:pPr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8.2. прием на обучение по дополнительным программам осуществляется на основании заявления родителей (законных представителей) ребенка.</w:t>
      </w:r>
    </w:p>
    <w:p w14:paraId="0E543637">
      <w:pPr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8.3. В заявлении родителей (законных представителей) указываются следующие сведения:</w:t>
      </w:r>
    </w:p>
    <w:p w14:paraId="7B9563C3">
      <w:pPr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фамилия, имя, отчество ребенка (последнее при наличии);</w:t>
      </w:r>
    </w:p>
    <w:p w14:paraId="29CE8892">
      <w:pPr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дату рождения ребенка;</w:t>
      </w:r>
    </w:p>
    <w:p w14:paraId="1BFA1D20">
      <w:pPr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группа, которую ребенок посещает;</w:t>
      </w:r>
    </w:p>
    <w:p w14:paraId="5F0A0D90">
      <w:pPr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фамилия, имя, родителя (законного представителя)ребенка;</w:t>
      </w:r>
    </w:p>
    <w:p w14:paraId="2C256AB1">
      <w:pPr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адрес места жительства ребенка, его родителей (законных представителей);</w:t>
      </w:r>
    </w:p>
    <w:p w14:paraId="531B058C">
      <w:pPr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контактные телефоны родителей (законных представителей) ребенка;</w:t>
      </w:r>
    </w:p>
    <w:p w14:paraId="510C53DC">
      <w:pPr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дополнительная общеразвивающая программа, по которой планируется обучаться.</w:t>
      </w:r>
    </w:p>
    <w:p w14:paraId="0528315E">
      <w:pPr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8.4. После подачи заявления о приеме на обучение по дополнительным платным общеразвивающим программам на платной основе между МАДОУ и родителями (законными представителями) воспитанника заключается договор об оказании платных образовательных услуг. Порядок заключения договора регламентируется Положением о платных образовательных услугах.</w:t>
      </w:r>
    </w:p>
    <w:p w14:paraId="04D59391">
      <w:pPr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8.5. Прием на обучение по дополнительным общеразвивающим программам осуществляется в течение учебного года.</w:t>
      </w:r>
    </w:p>
    <w:p w14:paraId="2805CE41">
      <w:pPr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8.6.Зачисление воспитанников на обучение по платным образовательным услугам оформляется приказом заведующего в течение 3 рабочих дней после подачи документов.</w:t>
      </w:r>
    </w:p>
    <w:p w14:paraId="2F289F9D">
      <w:pPr>
        <w:spacing w:line="240" w:lineRule="auto"/>
        <w:ind w:left="426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9. Изменение образовательных отношений.</w:t>
      </w:r>
    </w:p>
    <w:p w14:paraId="05CBD42E">
      <w:pPr>
        <w:spacing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9.1. Образовательные отношения изменяются в случае изменения условий получения воспитанниками образования по основной образовательной программе дошкольного образования, повлекшего за собой изменения взаимных прав и обязанностей воспитанника, родителей (законных представителей) воспитанника МАДОУ.</w:t>
      </w:r>
    </w:p>
    <w:p w14:paraId="27E66A9F">
      <w:pPr>
        <w:spacing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9.2. Образовательные отношения изменяются по инициативе родителей (законных представителей) воспитанника в следующих случаях:</w:t>
      </w:r>
    </w:p>
    <w:p w14:paraId="6C8D04BF">
      <w:pPr>
        <w:spacing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9.2.1. При переводе воспитанника в группу логопедической направленности</w:t>
      </w:r>
    </w:p>
    <w:p w14:paraId="7136DA4F">
      <w:pPr>
        <w:spacing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9.2.2. при переводе воспитанника на обучение с одной дополнительной развивающей программы на другую</w:t>
      </w:r>
    </w:p>
    <w:p w14:paraId="5DC9A6FD">
      <w:pPr>
        <w:spacing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9.2.3. при прекращении освоения ребенком дополнительной образовательной программы</w:t>
      </w:r>
    </w:p>
    <w:p w14:paraId="674813B3">
      <w:pPr>
        <w:spacing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9.2.4. при расторжении договора об оказании платных образовательных услуг</w:t>
      </w:r>
    </w:p>
    <w:p w14:paraId="2E2FB551">
      <w:pPr>
        <w:spacing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9.3. Изменение образовательных отношений осуществляется на основании заявления родителей (законных представителей) воспитанника.</w:t>
      </w:r>
    </w:p>
    <w:p w14:paraId="2BA82526">
      <w:pPr>
        <w:spacing w:before="24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9.4.Основанием для изменения образовательных отношений в случаях, указанных в п.9.2.1. и 9.2.2. настоящих Правил, является приказ заведующего, изданный им на  основании соответствующих изменений в договор об образовании, заключенный между МАДОУ и родителями (законными представителями) ребенка путем заключения дополнительного соглашения.</w:t>
      </w:r>
    </w:p>
    <w:p w14:paraId="2C68CED3">
      <w:pPr>
        <w:spacing w:before="24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9.5.Основанием для изменения образовательных отношений в случае, указанном в п.9.2.3. настоящих правил является приказ заведующего МАДОУ, изданный на основании внесения соответствующих изменений в договор об образовании, заключенный между МАДОУ и родителями (законными представителями) ребенка путем расторжения ранее заключенного дополнительного соглашения.</w:t>
      </w:r>
    </w:p>
    <w:p w14:paraId="6AC3B0B9">
      <w:pPr>
        <w:spacing w:before="24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9.6. Основанием для изменения образовательных отношений в случае, указанном в п.9.2.4. настоящих правил является приказ заведующего МАДОУ, изданный на основании расторжения ранее заключенного договора при приеме ребенка на обучение по дополнительным общеразвивающим программам на платной основе.</w:t>
      </w:r>
    </w:p>
    <w:p w14:paraId="610325A7">
      <w:pPr>
        <w:spacing w:before="24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9.7. Образовательные отношения изменяются по инициативе МАДОУ в следующих случаях:</w:t>
      </w:r>
    </w:p>
    <w:p w14:paraId="1E0062C5">
      <w:pPr>
        <w:spacing w:before="24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9.7.1.при прекращении реализации в МАДОУ дополнительной общеразвивающей программы (программ).</w:t>
      </w:r>
    </w:p>
    <w:p w14:paraId="2E9028CC">
      <w:pPr>
        <w:spacing w:before="24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9.7.2. при расторжении договора об оказании платных образовательных услуг.</w:t>
      </w:r>
    </w:p>
    <w:p w14:paraId="45E081C4">
      <w:pPr>
        <w:spacing w:before="24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9.8. Основанием для изменения образовательных отношений в случае, указанном в п.9.7.1. настоящих правил является приказ заведующего МАДОУ, изданный на основании внесения соответствующих изменений в договор об образовании, заключенный между МАДОУ и родителями (законными представителями) ребенка путем расторжения ранее заключенного дополнительного соглашения при приеме ребенка на обучение по дополнительным общеразвивающим программам.</w:t>
      </w:r>
    </w:p>
    <w:p w14:paraId="38991AD6">
      <w:pPr>
        <w:spacing w:before="24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9.9. Основанием для изменения образовательных отношений в случае, указанном в п.9.7.2. настоящих правил является приказ заведующего МАДОУ, изданный на основании расторжения ранее заключенного договора при приеме ребенка на обучение по дополнительным общеразвивающим программам на платной основе.</w:t>
      </w:r>
    </w:p>
    <w:p w14:paraId="1DF8AF7B">
      <w:pPr>
        <w:spacing w:before="24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9.10 Права и обязанности воспитанника, предусмотренные законодательством об образовании и локальными нормативными актами МАДОУ, изменяются с даты издания приказа или иной указанной  в нем даты..</w:t>
      </w:r>
    </w:p>
    <w:p w14:paraId="1A2168F8">
      <w:pPr>
        <w:spacing w:line="240" w:lineRule="auto"/>
        <w:ind w:left="426"/>
        <w:jc w:val="both"/>
        <w:rPr>
          <w:rFonts w:ascii="Times New Roman" w:hAnsi="Times New Roman"/>
          <w:sz w:val="24"/>
          <w:szCs w:val="24"/>
        </w:rPr>
      </w:pPr>
    </w:p>
    <w:p w14:paraId="08B2C214">
      <w:pPr>
        <w:spacing w:line="240" w:lineRule="auto"/>
        <w:ind w:left="426"/>
        <w:jc w:val="both"/>
        <w:rPr>
          <w:rFonts w:ascii="Times New Roman" w:hAnsi="Times New Roman"/>
          <w:sz w:val="24"/>
          <w:szCs w:val="24"/>
        </w:rPr>
      </w:pPr>
    </w:p>
    <w:p w14:paraId="5C9B7C0E">
      <w:pPr>
        <w:spacing w:line="240" w:lineRule="auto"/>
        <w:ind w:left="426"/>
        <w:jc w:val="both"/>
        <w:rPr>
          <w:rFonts w:ascii="Times New Roman" w:hAnsi="Times New Roman"/>
          <w:sz w:val="24"/>
          <w:szCs w:val="24"/>
        </w:rPr>
      </w:pPr>
    </w:p>
    <w:p w14:paraId="4F4D62EA">
      <w:pPr>
        <w:spacing w:line="240" w:lineRule="atLeast"/>
        <w:ind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</w:t>
      </w:r>
    </w:p>
    <w:p w14:paraId="6107963A">
      <w:pPr>
        <w:spacing w:line="240" w:lineRule="atLeast"/>
        <w:ind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14:paraId="52931896">
      <w:pPr>
        <w:rPr>
          <w:rFonts w:ascii="Times New Roman" w:hAnsi="Times New Roman"/>
          <w:sz w:val="24"/>
          <w:szCs w:val="24"/>
        </w:rPr>
      </w:pPr>
    </w:p>
    <w:p w14:paraId="39E0FB13">
      <w:pPr>
        <w:rPr>
          <w:rFonts w:ascii="Times New Roman" w:hAnsi="Times New Roman"/>
          <w:sz w:val="24"/>
          <w:szCs w:val="24"/>
        </w:rPr>
      </w:pPr>
    </w:p>
    <w:p w14:paraId="68CB0877"/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MS Reference Sans Serif">
    <w:panose1 w:val="020B0604030504040204"/>
    <w:charset w:val="00"/>
    <w:family w:val="auto"/>
    <w:pitch w:val="default"/>
    <w:sig w:usb0="00000287" w:usb1="00000000" w:usb2="00000000" w:usb3="00000000" w:csb0="2000019F" w:csb1="00000000"/>
  </w:font>
  <w:font w:name="Microsoft Sans Serif">
    <w:panose1 w:val="020B0604020202020204"/>
    <w:charset w:val="00"/>
    <w:family w:val="auto"/>
    <w:pitch w:val="default"/>
    <w:sig w:usb0="E5002EFF" w:usb1="C000605B" w:usb2="00000029" w:usb3="00000000" w:csb0="200101FF" w:csb1="2028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6" w:lineRule="auto"/>
      </w:pPr>
      <w:r>
        <w:separator/>
      </w:r>
    </w:p>
  </w:footnote>
  <w:footnote w:type="continuationSeparator" w:id="1">
    <w:p>
      <w:pPr>
        <w:spacing w:before="0" w:after="0" w:line="25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01E786B"/>
    <w:multiLevelType w:val="multilevel"/>
    <w:tmpl w:val="701E786B"/>
    <w:lvl w:ilvl="0" w:tentative="0">
      <w:start w:val="1"/>
      <w:numFmt w:val="decimal"/>
      <w:lvlText w:val="%1."/>
      <w:lvlJc w:val="left"/>
      <w:pPr>
        <w:ind w:left="450" w:hanging="450"/>
      </w:pPr>
      <w:rPr>
        <w:rFonts w:cs="Times New Roman"/>
      </w:rPr>
    </w:lvl>
    <w:lvl w:ilvl="1" w:tentative="0">
      <w:start w:val="1"/>
      <w:numFmt w:val="decimal"/>
      <w:lvlText w:val="%1.%2."/>
      <w:lvlJc w:val="left"/>
      <w:pPr>
        <w:ind w:left="720" w:hanging="720"/>
      </w:pPr>
      <w:rPr>
        <w:rFonts w:cs="Times New Roman"/>
      </w:rPr>
    </w:lvl>
    <w:lvl w:ilvl="2" w:tentative="0">
      <w:start w:val="1"/>
      <w:numFmt w:val="decimal"/>
      <w:lvlText w:val="%1.%2.%3."/>
      <w:lvlJc w:val="left"/>
      <w:pPr>
        <w:ind w:left="720" w:hanging="720"/>
      </w:pPr>
      <w:rPr>
        <w:rFonts w:cs="Times New Roman"/>
      </w:rPr>
    </w:lvl>
    <w:lvl w:ilvl="3" w:tentative="0">
      <w:start w:val="1"/>
      <w:numFmt w:val="decimal"/>
      <w:lvlText w:val="%1.%2.%3.%4."/>
      <w:lvlJc w:val="left"/>
      <w:pPr>
        <w:ind w:left="1080" w:hanging="1080"/>
      </w:pPr>
      <w:rPr>
        <w:rFonts w:cs="Times New Roman"/>
      </w:rPr>
    </w:lvl>
    <w:lvl w:ilvl="4" w:tentative="0">
      <w:start w:val="1"/>
      <w:numFmt w:val="decimal"/>
      <w:lvlText w:val="%1.%2.%3.%4.%5."/>
      <w:lvlJc w:val="left"/>
      <w:pPr>
        <w:ind w:left="1080" w:hanging="1080"/>
      </w:pPr>
      <w:rPr>
        <w:rFonts w:cs="Times New Roman"/>
      </w:rPr>
    </w:lvl>
    <w:lvl w:ilvl="5" w:tentative="0">
      <w:start w:val="1"/>
      <w:numFmt w:val="decimal"/>
      <w:lvlText w:val="%1.%2.%3.%4.%5.%6."/>
      <w:lvlJc w:val="left"/>
      <w:pPr>
        <w:ind w:left="1440" w:hanging="1440"/>
      </w:pPr>
      <w:rPr>
        <w:rFonts w:cs="Times New Roman"/>
      </w:rPr>
    </w:lvl>
    <w:lvl w:ilvl="6" w:tentative="0">
      <w:start w:val="1"/>
      <w:numFmt w:val="decimal"/>
      <w:lvlText w:val="%1.%2.%3.%4.%5.%6.%7."/>
      <w:lvlJc w:val="left"/>
      <w:pPr>
        <w:ind w:left="1800" w:hanging="1800"/>
      </w:pPr>
      <w:rPr>
        <w:rFonts w:cs="Times New Roman"/>
      </w:rPr>
    </w:lvl>
    <w:lvl w:ilvl="7" w:tentative="0">
      <w:start w:val="1"/>
      <w:numFmt w:val="decimal"/>
      <w:lvlText w:val="%1.%2.%3.%4.%5.%6.%7.%8."/>
      <w:lvlJc w:val="left"/>
      <w:pPr>
        <w:ind w:left="1800" w:hanging="1800"/>
      </w:pPr>
      <w:rPr>
        <w:rFonts w:cs="Times New Roman"/>
      </w:rPr>
    </w:lvl>
    <w:lvl w:ilvl="8" w:tentative="0">
      <w:start w:val="1"/>
      <w:numFmt w:val="decimal"/>
      <w:lvlText w:val="%1.%2.%3.%4.%5.%6.%7.%8.%9."/>
      <w:lvlJc w:val="left"/>
      <w:pPr>
        <w:ind w:left="2160" w:hanging="216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08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31CC"/>
    <w:rsid w:val="00013637"/>
    <w:rsid w:val="006E5B78"/>
    <w:rsid w:val="00B7649A"/>
    <w:rsid w:val="00FD31CC"/>
    <w:rsid w:val="094E3CDF"/>
    <w:rsid w:val="258E0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160" w:line="256" w:lineRule="auto"/>
    </w:pPr>
    <w:rPr>
      <w:rFonts w:ascii="Calibri" w:hAnsi="Calibri" w:eastAsia="Calibri" w:cs="Times New Roman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2"/>
    <w:semiHidden/>
    <w:unhideWhenUsed/>
    <w:uiPriority w:val="99"/>
    <w:rPr>
      <w:color w:val="0000FF"/>
      <w:u w:val="single"/>
    </w:rPr>
  </w:style>
  <w:style w:type="paragraph" w:styleId="5">
    <w:name w:val="Normal (Web)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szCs w:val="24"/>
      <w:lang w:val="en-US" w:eastAsia="zh-CN" w:bidi="ar"/>
    </w:rPr>
  </w:style>
  <w:style w:type="paragraph" w:styleId="6">
    <w:name w:val="List Paragraph"/>
    <w:basedOn w:val="1"/>
    <w:qFormat/>
    <w:uiPriority w:val="34"/>
    <w:pPr>
      <w:suppressAutoHyphens/>
      <w:spacing w:after="0" w:line="240" w:lineRule="auto"/>
      <w:ind w:left="720"/>
      <w:contextualSpacing/>
    </w:pPr>
    <w:rPr>
      <w:rFonts w:ascii="Times New Roman" w:hAnsi="Times New Roman" w:eastAsia="Times New Roman"/>
      <w:sz w:val="24"/>
      <w:szCs w:val="24"/>
      <w:lang w:eastAsia="ar-SA"/>
    </w:rPr>
  </w:style>
  <w:style w:type="paragraph" w:customStyle="1" w:styleId="7">
    <w:name w:val="Абзац списка1"/>
    <w:basedOn w:val="1"/>
    <w:qFormat/>
    <w:uiPriority w:val="0"/>
    <w:pPr>
      <w:spacing w:after="200" w:line="276" w:lineRule="auto"/>
      <w:ind w:left="720"/>
      <w:contextualSpacing/>
    </w:pPr>
    <w:rPr>
      <w:lang w:eastAsia="ru-RU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2851</Words>
  <Characters>16256</Characters>
  <Lines>135</Lines>
  <Paragraphs>38</Paragraphs>
  <TotalTime>2</TotalTime>
  <ScaleCrop>false</ScaleCrop>
  <LinksUpToDate>false</LinksUpToDate>
  <CharactersWithSpaces>19069</CharactersWithSpaces>
  <Application>WPS Office_12.2.0.20795_F1E327BC-269C-435d-A152-05C5408002CA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2021-03-29T08:23:00Z</dcterms:created>
  <dc:creator>Фал амловна</dc:creator>
  <cp:lastModifiedBy>Фазиля Камиловна</cp:lastModifiedBy>
  <dcterms:modified xsi:type="dcterms:W3CDTF">2025-04-21T08:45:53Z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1049-12.2.0.20795</vt:lpwstr>
  </property>
  <property fmtid="{D5CDD505-2E9C-101B-9397-08002B2CF9AE}" pid="3" name="ICV">
    <vt:lpwstr>0C38603BC10749958849AA4850077864_13</vt:lpwstr>
  </property>
</Properties>
</file>